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74D86" w14:textId="77777777" w:rsidR="00CE6FC2" w:rsidRDefault="00CE6FC2">
      <w:pPr>
        <w:autoSpaceDE w:val="0"/>
        <w:autoSpaceDN w:val="0"/>
        <w:adjustRightInd w:val="0"/>
        <w:jc w:val="center"/>
        <w:rPr>
          <w:rFonts w:ascii="Times New Roman" w:eastAsia="方正小标宋简体" w:hAnsi="Times New Roman" w:cs="方正小标宋简体"/>
          <w:kern w:val="0"/>
          <w:sz w:val="48"/>
          <w:szCs w:val="48"/>
          <w:lang w:val="zh-CN"/>
        </w:rPr>
      </w:pPr>
    </w:p>
    <w:p w14:paraId="78F42095" w14:textId="77777777" w:rsidR="00CE6FC2" w:rsidRDefault="00CE6FC2">
      <w:pPr>
        <w:autoSpaceDE w:val="0"/>
        <w:autoSpaceDN w:val="0"/>
        <w:adjustRightInd w:val="0"/>
        <w:jc w:val="center"/>
        <w:rPr>
          <w:rFonts w:ascii="Times New Roman" w:eastAsia="方正小标宋简体" w:hAnsi="Times New Roman" w:cs="方正小标宋简体"/>
          <w:kern w:val="0"/>
          <w:sz w:val="48"/>
          <w:szCs w:val="48"/>
          <w:lang w:val="zh-CN"/>
        </w:rPr>
      </w:pPr>
    </w:p>
    <w:p w14:paraId="1C7E9669" w14:textId="77777777" w:rsidR="00CE6FC2" w:rsidRDefault="00CE6FC2">
      <w:pPr>
        <w:autoSpaceDE w:val="0"/>
        <w:autoSpaceDN w:val="0"/>
        <w:adjustRightInd w:val="0"/>
        <w:jc w:val="center"/>
        <w:rPr>
          <w:rFonts w:ascii="Times New Roman" w:eastAsia="方正小标宋简体" w:hAnsi="Times New Roman" w:cs="方正小标宋简体"/>
          <w:kern w:val="0"/>
          <w:sz w:val="48"/>
          <w:szCs w:val="48"/>
          <w:lang w:val="zh-CN"/>
        </w:rPr>
      </w:pPr>
    </w:p>
    <w:p w14:paraId="4F632747" w14:textId="77777777" w:rsidR="00CE6FC2" w:rsidRDefault="00CE6FC2">
      <w:pPr>
        <w:autoSpaceDE w:val="0"/>
        <w:autoSpaceDN w:val="0"/>
        <w:adjustRightInd w:val="0"/>
        <w:jc w:val="center"/>
        <w:rPr>
          <w:rFonts w:ascii="Times New Roman" w:eastAsia="方正小标宋简体" w:hAnsi="Times New Roman" w:cs="方正小标宋简体"/>
          <w:kern w:val="0"/>
          <w:sz w:val="48"/>
          <w:szCs w:val="48"/>
          <w:lang w:val="zh-CN"/>
        </w:rPr>
      </w:pPr>
    </w:p>
    <w:p w14:paraId="5CD0DAC1" w14:textId="77777777" w:rsidR="00CE6FC2" w:rsidRDefault="00CE6FC2">
      <w:pPr>
        <w:autoSpaceDE w:val="0"/>
        <w:autoSpaceDN w:val="0"/>
        <w:adjustRightInd w:val="0"/>
        <w:jc w:val="center"/>
        <w:rPr>
          <w:rFonts w:ascii="Times New Roman" w:eastAsia="方正小标宋简体" w:hAnsi="Times New Roman" w:cs="方正小标宋简体"/>
          <w:kern w:val="0"/>
          <w:sz w:val="48"/>
          <w:szCs w:val="48"/>
          <w:lang w:val="zh-CN"/>
        </w:rPr>
      </w:pPr>
    </w:p>
    <w:p w14:paraId="3908383E" w14:textId="77777777" w:rsidR="00CE6FC2" w:rsidRDefault="00CE6FC2">
      <w:pPr>
        <w:autoSpaceDE w:val="0"/>
        <w:autoSpaceDN w:val="0"/>
        <w:adjustRightInd w:val="0"/>
        <w:jc w:val="center"/>
        <w:rPr>
          <w:rFonts w:ascii="Times New Roman" w:eastAsia="方正小标宋简体" w:hAnsi="Times New Roman" w:cs="方正小标宋简体"/>
          <w:kern w:val="0"/>
          <w:sz w:val="48"/>
          <w:szCs w:val="48"/>
          <w:lang w:val="zh-CN"/>
        </w:rPr>
      </w:pPr>
    </w:p>
    <w:p w14:paraId="29F4625D" w14:textId="77777777" w:rsidR="00CE6FC2" w:rsidRDefault="00CE6FC2">
      <w:pPr>
        <w:autoSpaceDE w:val="0"/>
        <w:autoSpaceDN w:val="0"/>
        <w:adjustRightInd w:val="0"/>
        <w:jc w:val="center"/>
        <w:rPr>
          <w:rFonts w:ascii="Times New Roman" w:eastAsia="方正小标宋简体" w:hAnsi="Times New Roman" w:cs="方正小标宋简体"/>
          <w:kern w:val="0"/>
          <w:sz w:val="48"/>
          <w:szCs w:val="48"/>
          <w:lang w:val="zh-CN"/>
        </w:rPr>
      </w:pPr>
    </w:p>
    <w:p w14:paraId="5741EFF2" w14:textId="77777777" w:rsidR="00CE6FC2" w:rsidRDefault="00CE6FC2">
      <w:pPr>
        <w:autoSpaceDE w:val="0"/>
        <w:autoSpaceDN w:val="0"/>
        <w:adjustRightInd w:val="0"/>
        <w:jc w:val="center"/>
        <w:rPr>
          <w:rFonts w:ascii="Times New Roman" w:eastAsia="方正小标宋简体" w:hAnsi="Times New Roman" w:cs="方正小标宋简体"/>
          <w:kern w:val="0"/>
          <w:sz w:val="48"/>
          <w:szCs w:val="48"/>
          <w:lang w:val="zh-CN"/>
        </w:rPr>
      </w:pPr>
    </w:p>
    <w:p w14:paraId="260F803E" w14:textId="77777777" w:rsidR="00CE6FC2" w:rsidRDefault="006D006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天津市妇女儿童保健中心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33EFC369" w14:textId="77777777" w:rsidR="00CE6FC2" w:rsidRDefault="00CE6FC2">
      <w:pPr>
        <w:autoSpaceDE w:val="0"/>
        <w:autoSpaceDN w:val="0"/>
        <w:adjustRightInd w:val="0"/>
        <w:spacing w:line="580" w:lineRule="exact"/>
        <w:jc w:val="center"/>
        <w:rPr>
          <w:rFonts w:ascii="Times New Roman" w:eastAsia="黑体" w:hAnsi="Times New Roman" w:cs="黑体"/>
          <w:sz w:val="30"/>
          <w:szCs w:val="30"/>
        </w:rPr>
      </w:pPr>
    </w:p>
    <w:p w14:paraId="5C376397" w14:textId="77777777" w:rsidR="00CE6FC2" w:rsidRDefault="00CE6FC2">
      <w:pPr>
        <w:autoSpaceDE w:val="0"/>
        <w:autoSpaceDN w:val="0"/>
        <w:adjustRightInd w:val="0"/>
        <w:spacing w:line="580" w:lineRule="exact"/>
        <w:jc w:val="center"/>
        <w:rPr>
          <w:rFonts w:ascii="Times New Roman" w:eastAsia="黑体" w:hAnsi="Times New Roman" w:cs="黑体"/>
          <w:sz w:val="30"/>
          <w:szCs w:val="30"/>
        </w:rPr>
      </w:pPr>
    </w:p>
    <w:p w14:paraId="23016A24" w14:textId="77777777" w:rsidR="00CE6FC2" w:rsidRDefault="00CE6FC2">
      <w:pPr>
        <w:autoSpaceDE w:val="0"/>
        <w:autoSpaceDN w:val="0"/>
        <w:adjustRightInd w:val="0"/>
        <w:spacing w:line="580" w:lineRule="exact"/>
        <w:jc w:val="center"/>
        <w:rPr>
          <w:rFonts w:ascii="Times New Roman" w:eastAsia="黑体" w:hAnsi="Times New Roman" w:cs="黑体"/>
          <w:sz w:val="30"/>
          <w:szCs w:val="30"/>
        </w:rPr>
      </w:pPr>
    </w:p>
    <w:p w14:paraId="188EC94A" w14:textId="77777777" w:rsidR="00CE6FC2" w:rsidRDefault="00CE6FC2">
      <w:pPr>
        <w:autoSpaceDE w:val="0"/>
        <w:autoSpaceDN w:val="0"/>
        <w:adjustRightInd w:val="0"/>
        <w:spacing w:line="580" w:lineRule="exact"/>
        <w:jc w:val="center"/>
        <w:rPr>
          <w:rFonts w:ascii="Times New Roman" w:eastAsia="黑体" w:hAnsi="Times New Roman" w:cs="黑体"/>
          <w:sz w:val="30"/>
          <w:szCs w:val="30"/>
        </w:rPr>
      </w:pPr>
    </w:p>
    <w:p w14:paraId="65DECD82" w14:textId="77777777" w:rsidR="00CE6FC2" w:rsidRDefault="00CE6FC2">
      <w:pPr>
        <w:autoSpaceDE w:val="0"/>
        <w:autoSpaceDN w:val="0"/>
        <w:adjustRightInd w:val="0"/>
        <w:spacing w:line="580" w:lineRule="exact"/>
        <w:jc w:val="center"/>
        <w:rPr>
          <w:rFonts w:ascii="Times New Roman" w:eastAsia="黑体" w:hAnsi="Times New Roman" w:cs="黑体"/>
          <w:sz w:val="30"/>
          <w:szCs w:val="30"/>
        </w:rPr>
      </w:pPr>
    </w:p>
    <w:p w14:paraId="6F8E440F" w14:textId="77777777" w:rsidR="00CE6FC2" w:rsidRDefault="006D006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629F3730" w14:textId="77777777" w:rsidR="00CE6FC2" w:rsidRDefault="006D006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2B84BB3C" w14:textId="77777777" w:rsidR="00CE6FC2" w:rsidRDefault="00CE6FC2">
      <w:pPr>
        <w:autoSpaceDE w:val="0"/>
        <w:autoSpaceDN w:val="0"/>
        <w:adjustRightInd w:val="0"/>
        <w:spacing w:line="600" w:lineRule="exact"/>
        <w:jc w:val="left"/>
        <w:rPr>
          <w:rFonts w:ascii="Times New Roman" w:eastAsia="黑体" w:hAnsi="Times New Roman" w:cs="黑体"/>
          <w:kern w:val="0"/>
          <w:sz w:val="30"/>
          <w:szCs w:val="30"/>
        </w:rPr>
      </w:pPr>
    </w:p>
    <w:p w14:paraId="0C3C2691" w14:textId="77777777" w:rsidR="00CE6FC2" w:rsidRDefault="006D006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14:paraId="577F075A"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6F2AB534"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119D8EFE" w14:textId="77777777" w:rsidR="00CE6FC2" w:rsidRDefault="006D006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4D81A47D"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55BE77BE"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1B2283E3"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79093DAB"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2F9D10B3"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0EB8F7E2"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0AC98FF6"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0836F753"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6E6FCB16"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7AF32B0E"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0736AD3F"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2AED7A50"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515269BC" w14:textId="77777777" w:rsidR="00CE6FC2" w:rsidRDefault="006D006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230E01C7"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76E1F8B9"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3B209D16"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385C3150"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7ABE696B"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53E583FF"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435240A0"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03F08EA6"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5B656B2B"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477329FE"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757CCA87"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19939F8E"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276C9AE9"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02748C7E" w14:textId="77777777" w:rsidR="00CE6FC2" w:rsidRDefault="006D006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71C3CFF1" w14:textId="77777777" w:rsidR="00CE6FC2" w:rsidRDefault="006D006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1F09DCF0" w14:textId="77777777" w:rsidR="00CE6FC2" w:rsidRDefault="006D0062">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0D0CE428" w14:textId="77777777" w:rsidR="00CE6FC2" w:rsidRDefault="006D006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14:paraId="14255902" w14:textId="44A5E1D6" w:rsidR="00CE6FC2" w:rsidRDefault="006D0062" w:rsidP="00592D9B">
      <w:pPr>
        <w:keepNext/>
        <w:keepLines/>
        <w:autoSpaceDE w:val="0"/>
        <w:autoSpaceDN w:val="0"/>
        <w:adjustRightInd w:val="0"/>
        <w:spacing w:line="600" w:lineRule="exact"/>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68C5CC1E" w14:textId="77777777" w:rsidR="00CE6FC2" w:rsidRDefault="006D0062" w:rsidP="00C71865">
      <w:pPr>
        <w:keepNext/>
        <w:keepLines/>
        <w:autoSpaceDE w:val="0"/>
        <w:autoSpaceDN w:val="0"/>
        <w:adjustRightInd w:val="0"/>
        <w:spacing w:line="600" w:lineRule="exact"/>
        <w:ind w:firstLine="60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天津市妇女儿童保健中心是市卫生健康委员会直属机构，主要履行妇幼公共卫生和妇儿保健服务两大职能。在履行公共卫生职能方面，对全市</w:t>
      </w:r>
      <w:r>
        <w:rPr>
          <w:rFonts w:ascii="Times New Roman" w:eastAsia="仿宋_GB2312" w:hAnsi="Times New Roman" w:cs="仿宋_GB2312" w:hint="eastAsia"/>
          <w:kern w:val="0"/>
          <w:sz w:val="30"/>
          <w:szCs w:val="30"/>
        </w:rPr>
        <w:t>16</w:t>
      </w:r>
      <w:r>
        <w:rPr>
          <w:rFonts w:ascii="Times New Roman" w:eastAsia="仿宋_GB2312" w:hAnsi="Times New Roman" w:cs="仿宋_GB2312" w:hint="eastAsia"/>
          <w:kern w:val="0"/>
          <w:sz w:val="30"/>
          <w:szCs w:val="30"/>
        </w:rPr>
        <w:t>个区级妇幼保健机构，近</w:t>
      </w:r>
      <w:r>
        <w:rPr>
          <w:rFonts w:ascii="Times New Roman" w:eastAsia="仿宋_GB2312" w:hAnsi="Times New Roman" w:cs="仿宋_GB2312" w:hint="eastAsia"/>
          <w:kern w:val="0"/>
          <w:sz w:val="30"/>
          <w:szCs w:val="30"/>
        </w:rPr>
        <w:t>300</w:t>
      </w:r>
      <w:r>
        <w:rPr>
          <w:rFonts w:ascii="Times New Roman" w:eastAsia="仿宋_GB2312" w:hAnsi="Times New Roman" w:cs="仿宋_GB2312" w:hint="eastAsia"/>
          <w:kern w:val="0"/>
          <w:sz w:val="30"/>
          <w:szCs w:val="30"/>
        </w:rPr>
        <w:t>个社区卫生机构，千余所托幼机构保健工作进行业务指导、技术培训、监督管理，并承担全市妇女、儿童的健康监测、科研流调、保健服务和健康教育工作，近年来，组织实施《天津市妇女儿童健康行动计划（</w:t>
      </w:r>
      <w:r>
        <w:rPr>
          <w:rFonts w:ascii="Times New Roman" w:eastAsia="仿宋_GB2312" w:hAnsi="Times New Roman" w:cs="仿宋_GB2312" w:hint="eastAsia"/>
          <w:kern w:val="0"/>
          <w:sz w:val="30"/>
          <w:szCs w:val="30"/>
        </w:rPr>
        <w:t>2008-2012</w:t>
      </w:r>
      <w:r>
        <w:rPr>
          <w:rFonts w:ascii="Times New Roman" w:eastAsia="仿宋_GB2312" w:hAnsi="Times New Roman" w:cs="仿宋_GB2312" w:hint="eastAsia"/>
          <w:kern w:val="0"/>
          <w:sz w:val="30"/>
          <w:szCs w:val="30"/>
        </w:rPr>
        <w:t>年）》、《天津市妇女儿童健康促进计划（</w:t>
      </w:r>
      <w:r>
        <w:rPr>
          <w:rFonts w:ascii="Times New Roman" w:eastAsia="仿宋_GB2312" w:hAnsi="Times New Roman" w:cs="仿宋_GB2312" w:hint="eastAsia"/>
          <w:kern w:val="0"/>
          <w:sz w:val="30"/>
          <w:szCs w:val="30"/>
        </w:rPr>
        <w:t>2013-2020</w:t>
      </w:r>
      <w:r>
        <w:rPr>
          <w:rFonts w:ascii="Times New Roman" w:eastAsia="仿宋_GB2312" w:hAnsi="Times New Roman" w:cs="仿宋_GB2312" w:hint="eastAsia"/>
          <w:kern w:val="0"/>
          <w:sz w:val="30"/>
          <w:szCs w:val="30"/>
        </w:rPr>
        <w:t>年）》、《天津市妇女儿童健康提升计划（</w:t>
      </w:r>
      <w:r>
        <w:rPr>
          <w:rFonts w:ascii="Times New Roman" w:eastAsia="仿宋_GB2312" w:hAnsi="Times New Roman" w:cs="仿宋_GB2312" w:hint="eastAsia"/>
          <w:kern w:val="0"/>
          <w:sz w:val="30"/>
          <w:szCs w:val="30"/>
        </w:rPr>
        <w:t>2021-2030</w:t>
      </w:r>
      <w:r>
        <w:rPr>
          <w:rFonts w:ascii="Times New Roman" w:eastAsia="仿宋_GB2312" w:hAnsi="Times New Roman" w:cs="仿宋_GB2312" w:hint="eastAsia"/>
          <w:kern w:val="0"/>
          <w:sz w:val="30"/>
          <w:szCs w:val="30"/>
        </w:rPr>
        <w:t>年）》，三部方案围绕“保障母婴安全，控制出生缺陷，提高妇儿健康”实施惠民项目。在履行保健职能方面，根据妇女儿童不同生理时期特点，搭建了涵盖全生命周期的保健业务平台，包括儿童生长发育、营养与喂养、先天性疾病筛查与干预、儿童心理与测评、高危儿童管理、儿科内分泌、儿童早期发展、五官皮肤保健等儿童健康业务，以及孕婴健康教育、遗传咨询、育龄期孕产保健、青春期保健、妇科疾病诊疗、孕产期疾病筛查、产前诊断、中医、妇儿实验检测等内容，满足人群的健康需求。</w:t>
      </w:r>
    </w:p>
    <w:p w14:paraId="2C59929D" w14:textId="77777777" w:rsidR="00CE6FC2" w:rsidRDefault="006D006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7C51D932" w14:textId="77777777" w:rsidR="00CE6FC2" w:rsidRDefault="006D0062" w:rsidP="00A63770">
      <w:pPr>
        <w:keepNext/>
        <w:keepLines/>
        <w:autoSpaceDE w:val="0"/>
        <w:autoSpaceDN w:val="0"/>
        <w:adjustRightInd w:val="0"/>
        <w:spacing w:line="600" w:lineRule="exact"/>
        <w:ind w:firstLine="601"/>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天津市妇女儿童保健中心内设</w:t>
      </w:r>
      <w:r>
        <w:rPr>
          <w:rFonts w:ascii="Times New Roman" w:eastAsia="仿宋_GB2312" w:hAnsi="Times New Roman" w:cs="仿宋_GB2312" w:hint="eastAsia"/>
          <w:kern w:val="0"/>
          <w:sz w:val="30"/>
          <w:szCs w:val="30"/>
        </w:rPr>
        <w:t>5</w:t>
      </w:r>
      <w:r>
        <w:rPr>
          <w:rFonts w:ascii="Times New Roman" w:eastAsia="仿宋_GB2312" w:hAnsi="Times New Roman" w:cs="仿宋_GB2312" w:hint="eastAsia"/>
          <w:kern w:val="0"/>
          <w:sz w:val="30"/>
          <w:szCs w:val="30"/>
        </w:rPr>
        <w:t>个职能科室，包括组织人事科、办公室、总务科、财务科、妇幼卫生管理科；下辖</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个预算单位。纳入天津市妇女儿童保健中心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14:paraId="248D803A" w14:textId="77777777" w:rsidR="00CE6FC2" w:rsidRDefault="006D0062" w:rsidP="00A63770">
      <w:pPr>
        <w:keepNext/>
        <w:keepLines/>
        <w:autoSpaceDE w:val="0"/>
        <w:autoSpaceDN w:val="0"/>
        <w:adjustRightInd w:val="0"/>
        <w:spacing w:line="600" w:lineRule="exact"/>
        <w:ind w:firstLine="601"/>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天津市妇女儿童保健中心</w:t>
      </w:r>
    </w:p>
    <w:p w14:paraId="7409479E" w14:textId="77777777" w:rsidR="00CE6FC2" w:rsidRDefault="006D0062">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6245DDC0" w14:textId="77777777" w:rsidR="00CE6FC2" w:rsidRDefault="006D006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1E5EFDF8" w14:textId="77777777" w:rsidR="00CE6FC2" w:rsidRDefault="00CE6FC2">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51B32F88"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53112988"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248098BB"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636A9B33"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749531C1"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5FD9289F"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71962C7B"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3A9756CD"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63ECA0F5"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7E0B110B"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70AACC30" w14:textId="77777777" w:rsidR="00CE6FC2" w:rsidRDefault="006D006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30BE50AD" w14:textId="77777777" w:rsidR="00CE6FC2" w:rsidRDefault="006D0062">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6DC9B5C1" w14:textId="77777777" w:rsidR="00CE6FC2" w:rsidRDefault="006D0062">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04C95180" w14:textId="77777777" w:rsidR="00CE6FC2" w:rsidRDefault="006D0062" w:rsidP="00976C9A">
      <w:pPr>
        <w:keepNext/>
        <w:keepLines/>
        <w:autoSpaceDE w:val="0"/>
        <w:autoSpaceDN w:val="0"/>
        <w:adjustRightInd w:val="0"/>
        <w:spacing w:line="600" w:lineRule="exact"/>
        <w:ind w:firstLine="601"/>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天津市妇女儿童保健中心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br/>
        <w:t xml:space="preserve">    2.</w:t>
      </w:r>
      <w:r>
        <w:rPr>
          <w:rFonts w:ascii="Times New Roman" w:eastAsia="仿宋_GB2312" w:hAnsi="Times New Roman" w:cs="仿宋_GB2312" w:hint="eastAsia"/>
          <w:kern w:val="0"/>
          <w:sz w:val="30"/>
          <w:szCs w:val="30"/>
        </w:rPr>
        <w:t>天津市妇女儿童保健中心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r>
        <w:rPr>
          <w:rFonts w:ascii="Times New Roman" w:eastAsia="仿宋_GB2312" w:hAnsi="Times New Roman" w:cs="仿宋_GB2312" w:hint="eastAsia"/>
          <w:kern w:val="0"/>
          <w:sz w:val="30"/>
          <w:szCs w:val="30"/>
        </w:rPr>
        <w:br/>
        <w:t xml:space="preserve">    3.</w:t>
      </w:r>
      <w:r>
        <w:rPr>
          <w:rFonts w:ascii="Times New Roman" w:eastAsia="仿宋_GB2312" w:hAnsi="Times New Roman" w:cs="仿宋_GB2312" w:hint="eastAsia"/>
          <w:kern w:val="0"/>
          <w:sz w:val="30"/>
          <w:szCs w:val="30"/>
        </w:rPr>
        <w:t>天津市妇女儿童保健中心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年度财政拨款“三公”经费支出决算表为空表。</w:t>
      </w:r>
    </w:p>
    <w:p w14:paraId="0A1624A7" w14:textId="2F4E0AA7" w:rsidR="00CE6FC2" w:rsidRDefault="00A15423" w:rsidP="00A15423">
      <w:pPr>
        <w:widowControl/>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br w:type="page"/>
      </w:r>
    </w:p>
    <w:p w14:paraId="038EFD96" w14:textId="77777777" w:rsidR="00CE6FC2" w:rsidRDefault="006D0062" w:rsidP="00D6396D">
      <w:pPr>
        <w:keepNext/>
        <w:keepLines/>
        <w:autoSpaceDE w:val="0"/>
        <w:autoSpaceDN w:val="0"/>
        <w:adjustRightInd w:val="0"/>
        <w:spacing w:line="600" w:lineRule="exact"/>
        <w:ind w:firstLine="601"/>
        <w:jc w:val="left"/>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6583A180" w14:textId="77777777" w:rsidR="00CE6FC2" w:rsidRDefault="00CE6FC2">
      <w:pPr>
        <w:autoSpaceDE w:val="0"/>
        <w:autoSpaceDN w:val="0"/>
        <w:adjustRightInd w:val="0"/>
        <w:spacing w:line="580" w:lineRule="exact"/>
        <w:ind w:firstLine="600"/>
        <w:jc w:val="left"/>
        <w:rPr>
          <w:rFonts w:ascii="Times New Roman" w:eastAsia="黑体" w:hAnsi="Times New Roman" w:cs="黑体"/>
          <w:sz w:val="30"/>
          <w:szCs w:val="30"/>
          <w:lang w:val="zh-CN"/>
        </w:rPr>
      </w:pPr>
    </w:p>
    <w:p w14:paraId="0A9978DD"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4786BBD0" w14:textId="77777777" w:rsidR="00CE6FC2" w:rsidRDefault="006D0062" w:rsidP="00976C9A">
      <w:pPr>
        <w:keepNext/>
        <w:keepLines/>
        <w:autoSpaceDE w:val="0"/>
        <w:autoSpaceDN w:val="0"/>
        <w:adjustRightInd w:val="0"/>
        <w:spacing w:line="600" w:lineRule="exact"/>
        <w:ind w:firstLine="60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天津市妇女儿童保健中心</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282,270,313.43</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116,360,829.32</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70.14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：编报口径调整，年初非财政拨款结余和专用结余纳入统计范围内。</w:t>
      </w:r>
    </w:p>
    <w:p w14:paraId="1AD9379C"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0DA2C077" w14:textId="77777777" w:rsidR="00CE6FC2" w:rsidRDefault="006D0062" w:rsidP="00976C9A">
      <w:pPr>
        <w:autoSpaceDE w:val="0"/>
        <w:autoSpaceDN w:val="0"/>
        <w:adjustRightInd w:val="0"/>
        <w:spacing w:line="600" w:lineRule="exact"/>
        <w:ind w:firstLine="601"/>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天津市妇女儿童保健中心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175,986,368.02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20,921,682.71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：门诊诊次增加，门诊收入相应增加。</w:t>
      </w:r>
    </w:p>
    <w:p w14:paraId="5286E23D" w14:textId="77777777" w:rsidR="00CE6FC2" w:rsidRDefault="006D0062" w:rsidP="00976C9A">
      <w:pPr>
        <w:autoSpaceDE w:val="0"/>
        <w:autoSpaceDN w:val="0"/>
        <w:adjustRightInd w:val="0"/>
        <w:spacing w:line="600" w:lineRule="exact"/>
        <w:ind w:firstLine="601"/>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82,533,985.56</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46.9</w:t>
      </w:r>
      <w:r>
        <w:rPr>
          <w:rFonts w:ascii="Times New Roman" w:eastAsia="宋体" w:hAnsi="Times New Roman" w:cs="Times New Roman" w:hint="eastAsia"/>
          <w:sz w:val="30"/>
          <w:szCs w:val="30"/>
        </w:rPr>
        <w:t>%</w:t>
      </w:r>
      <w:r w:rsidRPr="006D0062">
        <w:rPr>
          <w:rFonts w:ascii="Times New Roman" w:eastAsia="仿宋_GB2312" w:hAnsi="Times New Roman" w:cs="仿宋_GB2312" w:hint="eastAsia"/>
          <w:sz w:val="30"/>
          <w:szCs w:val="30"/>
          <w:lang w:val="zh-CN"/>
        </w:rPr>
        <w:t>；</w:t>
      </w:r>
    </w:p>
    <w:p w14:paraId="6F5A5FBE" w14:textId="77777777" w:rsidR="00CE6FC2" w:rsidRDefault="006D0062" w:rsidP="00976C9A">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2BBC74CF" w14:textId="77777777" w:rsidR="00CE6FC2" w:rsidRDefault="006D0062" w:rsidP="00976C9A">
      <w:pPr>
        <w:autoSpaceDE w:val="0"/>
        <w:autoSpaceDN w:val="0"/>
        <w:adjustRightInd w:val="0"/>
        <w:spacing w:line="600" w:lineRule="exact"/>
        <w:ind w:firstLine="601"/>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46DCE46C" w14:textId="77777777" w:rsidR="00CE6FC2" w:rsidRDefault="006D0062" w:rsidP="00976C9A">
      <w:pPr>
        <w:autoSpaceDE w:val="0"/>
        <w:autoSpaceDN w:val="0"/>
        <w:adjustRightInd w:val="0"/>
        <w:spacing w:line="600" w:lineRule="exact"/>
        <w:ind w:firstLine="601"/>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1D57EB8F" w14:textId="77777777" w:rsidR="00CE6FC2" w:rsidRDefault="006D0062" w:rsidP="00976C9A">
      <w:pPr>
        <w:autoSpaceDE w:val="0"/>
        <w:autoSpaceDN w:val="0"/>
        <w:adjustRightInd w:val="0"/>
        <w:spacing w:line="600" w:lineRule="exact"/>
        <w:ind w:firstLine="601"/>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92,965,288.12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52.8</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w:t>
      </w:r>
    </w:p>
    <w:p w14:paraId="7069E488" w14:textId="77777777" w:rsidR="00CE6FC2" w:rsidRDefault="006D0062" w:rsidP="00976C9A">
      <w:pPr>
        <w:autoSpaceDE w:val="0"/>
        <w:autoSpaceDN w:val="0"/>
        <w:adjustRightInd w:val="0"/>
        <w:spacing w:line="600" w:lineRule="exact"/>
        <w:ind w:firstLine="601"/>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44DFF2D3" w14:textId="77777777" w:rsidR="00CE6FC2" w:rsidRDefault="006D0062" w:rsidP="00976C9A">
      <w:pPr>
        <w:autoSpaceDE w:val="0"/>
        <w:autoSpaceDN w:val="0"/>
        <w:adjustRightInd w:val="0"/>
        <w:spacing w:line="600" w:lineRule="exact"/>
        <w:ind w:firstLine="601"/>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09D93DD2" w14:textId="77777777" w:rsidR="00CE6FC2" w:rsidRDefault="006D0062" w:rsidP="00976C9A">
      <w:pPr>
        <w:autoSpaceDE w:val="0"/>
        <w:autoSpaceDN w:val="0"/>
        <w:adjustRightInd w:val="0"/>
        <w:spacing w:line="600" w:lineRule="exact"/>
        <w:ind w:firstLine="601"/>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5E26E754" w14:textId="77777777" w:rsidR="00CE6FC2" w:rsidRDefault="006D0062" w:rsidP="00976C9A">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487,094.34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0.28%</w:t>
      </w:r>
      <w:r>
        <w:rPr>
          <w:rFonts w:ascii="Times New Roman" w:eastAsia="仿宋_GB2312" w:hAnsi="Times New Roman" w:cs="仿宋_GB2312" w:hint="eastAsia"/>
          <w:sz w:val="30"/>
          <w:szCs w:val="30"/>
          <w:lang w:val="zh-CN"/>
        </w:rPr>
        <w:t>。</w:t>
      </w:r>
    </w:p>
    <w:p w14:paraId="02F5E687"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14:paraId="1B8B715B" w14:textId="77777777" w:rsidR="00CE6FC2" w:rsidRDefault="006D0062" w:rsidP="00976C9A">
      <w:pPr>
        <w:autoSpaceDE w:val="0"/>
        <w:autoSpaceDN w:val="0"/>
        <w:adjustRightInd w:val="0"/>
        <w:spacing w:line="580" w:lineRule="exact"/>
        <w:ind w:firstLine="601"/>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天津市妇女儿童保健中心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168,147,336.97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12,929,466.02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门诊诊次增加，支出相应增加。</w:t>
      </w:r>
    </w:p>
    <w:p w14:paraId="453232CB" w14:textId="77777777" w:rsidR="00CE6FC2" w:rsidRDefault="006D0062" w:rsidP="00976C9A">
      <w:pPr>
        <w:autoSpaceDE w:val="0"/>
        <w:autoSpaceDN w:val="0"/>
        <w:adjustRightInd w:val="0"/>
        <w:spacing w:line="58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101,810,751.65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60.55%</w:t>
      </w:r>
      <w:r>
        <w:rPr>
          <w:rFonts w:ascii="Times New Roman" w:eastAsia="仿宋_GB2312" w:hAnsi="Times New Roman" w:cs="仿宋_GB2312" w:hint="eastAsia"/>
          <w:sz w:val="30"/>
          <w:szCs w:val="30"/>
        </w:rPr>
        <w:t>；</w:t>
      </w:r>
    </w:p>
    <w:p w14:paraId="6D714FF7" w14:textId="77777777" w:rsidR="00CE6FC2" w:rsidRDefault="006D0062" w:rsidP="00976C9A">
      <w:pPr>
        <w:autoSpaceDE w:val="0"/>
        <w:autoSpaceDN w:val="0"/>
        <w:adjustRightInd w:val="0"/>
        <w:spacing w:line="58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66,336,585.32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39.45%</w:t>
      </w:r>
      <w:r>
        <w:rPr>
          <w:rFonts w:ascii="Times New Roman" w:eastAsia="仿宋_GB2312" w:hAnsi="Times New Roman" w:cs="仿宋_GB2312" w:hint="eastAsia"/>
          <w:sz w:val="30"/>
          <w:szCs w:val="30"/>
        </w:rPr>
        <w:t>；</w:t>
      </w:r>
    </w:p>
    <w:p w14:paraId="3D00A95A" w14:textId="77777777" w:rsidR="00CE6FC2" w:rsidRDefault="006D0062" w:rsidP="00976C9A">
      <w:pPr>
        <w:autoSpaceDE w:val="0"/>
        <w:autoSpaceDN w:val="0"/>
        <w:adjustRightInd w:val="0"/>
        <w:spacing w:line="58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426BD74A" w14:textId="77777777" w:rsidR="00CE6FC2" w:rsidRDefault="006D0062" w:rsidP="00976C9A">
      <w:pPr>
        <w:autoSpaceDE w:val="0"/>
        <w:autoSpaceDN w:val="0"/>
        <w:adjustRightInd w:val="0"/>
        <w:spacing w:line="58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6FC10BD1" w14:textId="77777777" w:rsidR="00CE6FC2" w:rsidRDefault="006D0062" w:rsidP="00976C9A">
      <w:pPr>
        <w:autoSpaceDE w:val="0"/>
        <w:autoSpaceDN w:val="0"/>
        <w:adjustRightInd w:val="0"/>
        <w:spacing w:line="580" w:lineRule="exact"/>
        <w:ind w:firstLine="601"/>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19F3B76B"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1CEB3C3A" w14:textId="77777777" w:rsidR="00CE6FC2" w:rsidRDefault="006D0062" w:rsidP="00976C9A">
      <w:pPr>
        <w:autoSpaceDE w:val="0"/>
        <w:autoSpaceDN w:val="0"/>
        <w:adjustRightInd w:val="0"/>
        <w:spacing w:line="58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天津市妇女儿童保健中心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82,533,985.56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2,111,980.43</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2.63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财政拨项目经费增加。</w:t>
      </w:r>
    </w:p>
    <w:p w14:paraId="05082F60"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7A5A1FB9" w14:textId="77777777" w:rsidR="00CE6FC2" w:rsidRDefault="006D006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6A83069E" w14:textId="77777777" w:rsidR="00CE6FC2" w:rsidRDefault="006D0062">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天津市妇女儿童保健中心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82,533,985.56</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49.08%</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2,111,980.43</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2.63%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：财政拨项目经费增加，支出相应增加。</w:t>
      </w:r>
    </w:p>
    <w:p w14:paraId="2D81AA88" w14:textId="77777777" w:rsidR="00CE6FC2" w:rsidRDefault="006D006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4813AD71" w14:textId="77777777" w:rsidR="00CE6FC2" w:rsidRDefault="006D0062" w:rsidP="00736F46">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82,533,985.56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w:t>
      </w:r>
      <w:r>
        <w:rPr>
          <w:rFonts w:ascii="Times New Roman" w:eastAsia="仿宋_GB2312" w:hAnsi="Times New Roman" w:cs="仿宋_GB2312" w:hint="eastAsia"/>
          <w:kern w:val="0"/>
          <w:sz w:val="30"/>
          <w:szCs w:val="30"/>
        </w:rPr>
        <w:lastRenderedPageBreak/>
        <w:t>于以下方面：</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4,002,186.00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4.85%</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78,531,799.56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95.15%</w:t>
      </w:r>
      <w:r>
        <w:rPr>
          <w:rFonts w:ascii="Times New Roman" w:eastAsia="仿宋_GB2312" w:hAnsi="Times New Roman" w:cs="仿宋_GB2312" w:hint="eastAsia"/>
          <w:sz w:val="30"/>
          <w:szCs w:val="30"/>
        </w:rPr>
        <w:t>。</w:t>
      </w:r>
    </w:p>
    <w:p w14:paraId="58B0C88F" w14:textId="77777777" w:rsidR="00CE6FC2" w:rsidRDefault="006D006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659E71A4" w14:textId="77777777" w:rsidR="00CE6FC2" w:rsidRDefault="006D0062" w:rsidP="00736F46">
      <w:pPr>
        <w:autoSpaceDE w:val="0"/>
        <w:autoSpaceDN w:val="0"/>
        <w:adjustRightInd w:val="0"/>
        <w:spacing w:line="600" w:lineRule="exact"/>
        <w:ind w:firstLine="601"/>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84,701,100.00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82,533,985.56</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97.44%</w:t>
      </w:r>
      <w:r>
        <w:rPr>
          <w:rFonts w:ascii="Times New Roman" w:eastAsia="仿宋_GB2312" w:hAnsi="Times New Roman" w:cs="仿宋_GB2312" w:hint="eastAsia"/>
          <w:kern w:val="0"/>
          <w:sz w:val="30"/>
          <w:szCs w:val="30"/>
        </w:rPr>
        <w:t>。其中：</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2,487,000.00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2,487,000.00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1,244,000.00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1,244,000.00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卫生健康支出（类）公共卫生（款）妇幼保健机构（项）年初预算为</w:t>
      </w:r>
      <w:r>
        <w:rPr>
          <w:rFonts w:ascii="Times New Roman" w:eastAsia="仿宋_GB2312" w:hAnsi="Times New Roman" w:cs="仿宋_GB2312" w:hint="eastAsia"/>
          <w:sz w:val="30"/>
          <w:szCs w:val="30"/>
        </w:rPr>
        <w:t>39,547,000.00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34,763,561.25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87.9%</w:t>
      </w:r>
      <w:r>
        <w:rPr>
          <w:rFonts w:ascii="Times New Roman" w:eastAsia="仿宋_GB2312" w:hAnsi="Times New Roman" w:cs="仿宋_GB2312" w:hint="eastAsia"/>
          <w:sz w:val="30"/>
          <w:szCs w:val="30"/>
        </w:rPr>
        <w:t>。决算数小于年初预算数的主要原因是部分项目经费未执行完毕。</w:t>
      </w:r>
      <w:r>
        <w:rPr>
          <w:rFonts w:ascii="Times New Roman" w:eastAsia="仿宋_GB2312" w:hAnsi="Times New Roman" w:cs="仿宋_GB2312" w:hint="eastAsia"/>
          <w:sz w:val="30"/>
          <w:szCs w:val="30"/>
        </w:rPr>
        <w:br/>
        <w:t>4.</w:t>
      </w:r>
      <w:r>
        <w:rPr>
          <w:rFonts w:ascii="Times New Roman" w:eastAsia="仿宋_GB2312" w:hAnsi="Times New Roman" w:cs="仿宋_GB2312" w:hint="eastAsia"/>
          <w:sz w:val="30"/>
          <w:szCs w:val="30"/>
        </w:rPr>
        <w:t>卫生健康支出（类）公共卫生（款）基本公共卫生服务（项）年初预算为</w:t>
      </w:r>
      <w:r>
        <w:rPr>
          <w:rFonts w:ascii="Times New Roman" w:eastAsia="仿宋_GB2312" w:hAnsi="Times New Roman" w:cs="仿宋_GB2312" w:hint="eastAsia"/>
          <w:sz w:val="30"/>
          <w:szCs w:val="30"/>
        </w:rPr>
        <w:t>33,736,100.00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31,622,477.37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93.73%</w:t>
      </w:r>
      <w:r>
        <w:rPr>
          <w:rFonts w:ascii="Times New Roman" w:eastAsia="仿宋_GB2312" w:hAnsi="Times New Roman" w:cs="仿宋_GB2312" w:hint="eastAsia"/>
          <w:sz w:val="30"/>
          <w:szCs w:val="30"/>
        </w:rPr>
        <w:t>。决算数小于年初预算数的主要原因是部分项目经费未执行完毕。</w:t>
      </w:r>
      <w:r>
        <w:rPr>
          <w:rFonts w:ascii="Times New Roman" w:eastAsia="仿宋_GB2312" w:hAnsi="Times New Roman" w:cs="仿宋_GB2312" w:hint="eastAsia"/>
          <w:sz w:val="30"/>
          <w:szCs w:val="30"/>
        </w:rPr>
        <w:br/>
        <w:t>5.</w:t>
      </w:r>
      <w:r>
        <w:rPr>
          <w:rFonts w:ascii="Times New Roman" w:eastAsia="仿宋_GB2312" w:hAnsi="Times New Roman" w:cs="仿宋_GB2312" w:hint="eastAsia"/>
          <w:sz w:val="30"/>
          <w:szCs w:val="30"/>
        </w:rPr>
        <w:t>卫生健康支出（类）公共卫生（款）重大公共卫生服务（项）年初预算为</w:t>
      </w:r>
      <w:r>
        <w:rPr>
          <w:rFonts w:ascii="Times New Roman" w:eastAsia="仿宋_GB2312" w:hAnsi="Times New Roman" w:cs="仿宋_GB2312" w:hint="eastAsia"/>
          <w:sz w:val="30"/>
          <w:szCs w:val="30"/>
        </w:rPr>
        <w:t>6,639,000.00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11,039,760.94</w:t>
      </w:r>
      <w:r>
        <w:rPr>
          <w:rFonts w:ascii="Times New Roman" w:eastAsia="仿宋_GB2312" w:hAnsi="Times New Roman" w:cs="仿宋_GB2312" w:hint="eastAsia"/>
          <w:sz w:val="30"/>
          <w:szCs w:val="30"/>
        </w:rPr>
        <w:t>元，完成年初预</w:t>
      </w:r>
      <w:r>
        <w:rPr>
          <w:rFonts w:ascii="Times New Roman" w:eastAsia="仿宋_GB2312" w:hAnsi="Times New Roman" w:cs="仿宋_GB2312" w:hint="eastAsia"/>
          <w:sz w:val="30"/>
          <w:szCs w:val="30"/>
        </w:rPr>
        <w:lastRenderedPageBreak/>
        <w:t>算的</w:t>
      </w:r>
      <w:r>
        <w:rPr>
          <w:rFonts w:ascii="Times New Roman" w:eastAsia="仿宋_GB2312" w:hAnsi="Times New Roman" w:cs="仿宋_GB2312" w:hint="eastAsia"/>
          <w:sz w:val="30"/>
          <w:szCs w:val="30"/>
        </w:rPr>
        <w:t>166.29%</w:t>
      </w:r>
      <w:r>
        <w:rPr>
          <w:rFonts w:ascii="Times New Roman" w:eastAsia="仿宋_GB2312" w:hAnsi="Times New Roman" w:cs="仿宋_GB2312" w:hint="eastAsia"/>
          <w:sz w:val="30"/>
          <w:szCs w:val="30"/>
        </w:rPr>
        <w:t>。决算数大于年初预算数的主要原因是年中追加了部分项目经费。</w:t>
      </w:r>
      <w:r>
        <w:rPr>
          <w:rFonts w:ascii="Times New Roman" w:eastAsia="仿宋_GB2312" w:hAnsi="Times New Roman" w:cs="仿宋_GB2312" w:hint="eastAsia"/>
          <w:sz w:val="30"/>
          <w:szCs w:val="30"/>
        </w:rPr>
        <w:br/>
        <w:t>6.</w:t>
      </w:r>
      <w:r>
        <w:rPr>
          <w:rFonts w:ascii="Times New Roman" w:eastAsia="仿宋_GB2312" w:hAnsi="Times New Roman" w:cs="仿宋_GB2312" w:hint="eastAsia"/>
          <w:sz w:val="30"/>
          <w:szCs w:val="30"/>
        </w:rPr>
        <w:t>卫生健康支出（类）行政事业单位医疗（款）事业单位医疗支出（项）年初预算为</w:t>
      </w:r>
      <w:r>
        <w:rPr>
          <w:rFonts w:ascii="Times New Roman" w:eastAsia="仿宋_GB2312" w:hAnsi="Times New Roman" w:cs="仿宋_GB2312" w:hint="eastAsia"/>
          <w:sz w:val="30"/>
          <w:szCs w:val="30"/>
        </w:rPr>
        <w:t>836,000.00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894,000.00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106.94 %</w:t>
      </w:r>
      <w:r>
        <w:rPr>
          <w:rFonts w:ascii="Times New Roman" w:eastAsia="仿宋_GB2312" w:hAnsi="Times New Roman" w:cs="仿宋_GB2312" w:hint="eastAsia"/>
          <w:sz w:val="30"/>
          <w:szCs w:val="30"/>
        </w:rPr>
        <w:t>。决算数大于年初预算数的主要原因是该项目部分资金为年中追加。</w:t>
      </w:r>
      <w:r>
        <w:rPr>
          <w:rFonts w:ascii="Times New Roman" w:eastAsia="仿宋_GB2312" w:hAnsi="Times New Roman" w:cs="仿宋_GB2312" w:hint="eastAsia"/>
          <w:sz w:val="30"/>
          <w:szCs w:val="30"/>
        </w:rPr>
        <w:br/>
        <w:t>7.</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212,000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212,000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8.</w:t>
      </w:r>
      <w:r>
        <w:rPr>
          <w:rFonts w:ascii="Times New Roman" w:eastAsia="仿宋_GB2312" w:hAnsi="Times New Roman" w:cs="仿宋_GB2312" w:hint="eastAsia"/>
          <w:sz w:val="30"/>
          <w:szCs w:val="30"/>
        </w:rPr>
        <w:t>社会保障和就业支出（类）其他社会保障和就业支出（款）其他社会保障和就业支出（项）年初预算为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271,186.00</w:t>
      </w:r>
      <w:r>
        <w:rPr>
          <w:rFonts w:ascii="Times New Roman" w:eastAsia="仿宋_GB2312" w:hAnsi="Times New Roman" w:cs="仿宋_GB2312" w:hint="eastAsia"/>
          <w:sz w:val="30"/>
          <w:szCs w:val="30"/>
        </w:rPr>
        <w:t>元，比年初预算增加</w:t>
      </w:r>
      <w:r>
        <w:rPr>
          <w:rFonts w:ascii="Times New Roman" w:eastAsia="仿宋_GB2312" w:hAnsi="Times New Roman" w:cs="仿宋_GB2312" w:hint="eastAsia"/>
          <w:sz w:val="30"/>
          <w:szCs w:val="30"/>
        </w:rPr>
        <w:t>271,186.00</w:t>
      </w:r>
      <w:r>
        <w:rPr>
          <w:rFonts w:ascii="Times New Roman" w:eastAsia="仿宋_GB2312" w:hAnsi="Times New Roman" w:cs="仿宋_GB2312" w:hint="eastAsia"/>
          <w:sz w:val="30"/>
          <w:szCs w:val="30"/>
        </w:rPr>
        <w:t>元，决算数大于年初预算数的主要原因是该项目经费为年中追加的项目。</w:t>
      </w:r>
    </w:p>
    <w:p w14:paraId="48E08944"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27E676B1" w14:textId="77777777" w:rsidR="00CE6FC2" w:rsidRDefault="006D0062" w:rsidP="00281602">
      <w:pPr>
        <w:autoSpaceDE w:val="0"/>
        <w:autoSpaceDN w:val="0"/>
        <w:adjustRightInd w:val="0"/>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天津市妇女儿童保健中心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18,628,000.00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187,900.00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年全年在职人员平均数小于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年全年在职人员平均数，所以财政拨款基本支出相应减少。</w:t>
      </w:r>
      <w:r>
        <w:rPr>
          <w:rFonts w:ascii="Times New Roman" w:eastAsia="仿宋_GB2312" w:hAnsi="Times New Roman" w:cs="仿宋_GB2312" w:hint="eastAsia"/>
          <w:kern w:val="0"/>
          <w:sz w:val="30"/>
          <w:szCs w:val="30"/>
        </w:rPr>
        <w:t>其中：</w:t>
      </w:r>
    </w:p>
    <w:p w14:paraId="34FF61A8" w14:textId="77777777" w:rsidR="00CE6FC2" w:rsidRDefault="006D0062" w:rsidP="00281602">
      <w:pPr>
        <w:autoSpaceDE w:val="0"/>
        <w:autoSpaceDN w:val="0"/>
        <w:adjustRightInd w:val="0"/>
        <w:spacing w:line="600" w:lineRule="exact"/>
        <w:ind w:firstLineChars="200" w:firstLine="60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17,093,000.00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基本工资、津贴补贴、绩效工资、机关事业单位基本养老保险缴费、职业年金缴费、职工基本医疗保险缴费、住房公积金、医疗费、其他工资福利支出、离休</w:t>
      </w:r>
      <w:r>
        <w:rPr>
          <w:rFonts w:ascii="Times New Roman" w:eastAsia="仿宋_GB2312" w:hAnsi="Times New Roman" w:cs="仿宋_GB2312" w:hint="eastAsia"/>
          <w:sz w:val="30"/>
          <w:szCs w:val="30"/>
        </w:rPr>
        <w:lastRenderedPageBreak/>
        <w:t>费、退休费、医疗费补助。</w:t>
      </w:r>
    </w:p>
    <w:p w14:paraId="0EE7D8C4" w14:textId="77777777" w:rsidR="00CE6FC2" w:rsidRDefault="006D0062" w:rsidP="00135158">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1,535,000.00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水费、电费、物业管理费、工会经费。</w:t>
      </w:r>
    </w:p>
    <w:p w14:paraId="59AF0FA2"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13ADF4E6" w14:textId="77777777" w:rsidR="00CE6FC2" w:rsidRDefault="006D0062">
      <w:pPr>
        <w:autoSpaceDE w:val="0"/>
        <w:autoSpaceDN w:val="0"/>
        <w:adjustRightInd w:val="0"/>
        <w:spacing w:line="600" w:lineRule="exact"/>
        <w:ind w:firstLine="600"/>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天津市妇女儿童保健中心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1BC27DB8" w14:textId="77777777" w:rsidR="00CE6FC2" w:rsidRDefault="006D006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1D7B42C0" w14:textId="77777777" w:rsidR="00CE6FC2" w:rsidRDefault="006D0062" w:rsidP="00AE3572">
      <w:pPr>
        <w:keepNext/>
        <w:keepLines/>
        <w:autoSpaceDE w:val="0"/>
        <w:autoSpaceDN w:val="0"/>
        <w:adjustRightInd w:val="0"/>
        <w:spacing w:line="60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天津市妇女儿童保健中心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bookmarkStart w:id="0" w:name="_GoBack"/>
      <w:bookmarkEnd w:id="0"/>
      <w:r>
        <w:rPr>
          <w:rFonts w:ascii="Times New Roman" w:eastAsia="仿宋_GB2312" w:hAnsi="Times New Roman" w:cs="仿宋_GB2312" w:hint="eastAsia"/>
          <w:sz w:val="30"/>
          <w:szCs w:val="30"/>
        </w:rPr>
        <w:t>。</w:t>
      </w:r>
    </w:p>
    <w:p w14:paraId="79A210EC"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40DBD678" w14:textId="77777777" w:rsidR="00CE6FC2" w:rsidRDefault="006D006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01834206" w14:textId="52BFF865" w:rsidR="00CE6FC2" w:rsidRDefault="006D0062" w:rsidP="00AE3572">
      <w:pPr>
        <w:autoSpaceDE w:val="0"/>
        <w:autoSpaceDN w:val="0"/>
        <w:adjustRightInd w:val="0"/>
        <w:spacing w:line="600" w:lineRule="exact"/>
        <w:ind w:firstLine="601"/>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sidR="00B3210B">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p>
    <w:p w14:paraId="35D5C581" w14:textId="77777777" w:rsidR="00CE6FC2" w:rsidRDefault="006D006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6366EC3B" w14:textId="1A900B5D" w:rsidR="00CE6FC2" w:rsidRDefault="006D0062" w:rsidP="007075FF">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sidR="00B3210B">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w:t>
      </w:r>
      <w:r>
        <w:rPr>
          <w:rFonts w:ascii="Times New Roman" w:eastAsia="仿宋_GB2312" w:hAnsi="Times New Roman" w:cs="仿宋_GB2312" w:hint="eastAsia"/>
          <w:kern w:val="0"/>
          <w:sz w:val="30"/>
          <w:szCs w:val="30"/>
        </w:rPr>
        <w:lastRenderedPageBreak/>
        <w:t>因是：</w:t>
      </w:r>
      <w:r>
        <w:rPr>
          <w:rFonts w:ascii="Times New Roman" w:eastAsia="仿宋_GB2312" w:hAnsi="Times New Roman" w:cs="仿宋_GB2312" w:hint="eastAsia"/>
          <w:sz w:val="30"/>
          <w:szCs w:val="30"/>
        </w:rPr>
        <w:t>本年度未用财政拨款经费列支因公出国（境）费。</w:t>
      </w:r>
    </w:p>
    <w:p w14:paraId="10EF9EB4" w14:textId="77777777" w:rsidR="00CE6FC2" w:rsidRDefault="006D006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007601EF" w14:textId="11F263E6" w:rsidR="00CE6FC2" w:rsidRDefault="006D0062" w:rsidP="007075FF">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kern w:val="0"/>
          <w:sz w:val="30"/>
          <w:szCs w:val="30"/>
        </w:rPr>
        <w:t>其中：</w:t>
      </w:r>
    </w:p>
    <w:p w14:paraId="37EBB7E9" w14:textId="5DE5D94B" w:rsidR="00CE6FC2" w:rsidRDefault="006D0062" w:rsidP="007075FF">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14:paraId="5410001F" w14:textId="77777777" w:rsidR="00CE6FC2" w:rsidRDefault="006D0062" w:rsidP="00281602">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2E216906" w14:textId="7EDAA062" w:rsidR="00CE6FC2" w:rsidRDefault="006D0062" w:rsidP="002860DC">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14:paraId="782901A7" w14:textId="77777777" w:rsidR="00CE6FC2" w:rsidRDefault="006D006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076D5E04" w14:textId="3F1697B0" w:rsidR="00CE6FC2" w:rsidRDefault="006D0062">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w:t>
      </w:r>
      <w:r>
        <w:rPr>
          <w:rFonts w:ascii="Times New Roman" w:eastAsia="仿宋_GB2312" w:hAnsi="Times New Roman" w:cs="仿宋_GB2312" w:hint="eastAsia"/>
          <w:sz w:val="30"/>
          <w:szCs w:val="30"/>
        </w:rPr>
        <w:lastRenderedPageBreak/>
        <w:t>未用财政拨款经费列支公务接待费。</w:t>
      </w:r>
    </w:p>
    <w:p w14:paraId="69A01A33" w14:textId="77777777" w:rsidR="00CE6FC2" w:rsidRDefault="006D006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195ACF19"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070DF9FC" w14:textId="77777777" w:rsidR="00CE6FC2" w:rsidRDefault="006D0062" w:rsidP="00F33D60">
      <w:pPr>
        <w:keepNext/>
        <w:keepLines/>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天津市妇女儿童保健中心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14:paraId="1ED0F8E8" w14:textId="77777777" w:rsidR="00CE6FC2" w:rsidRDefault="006D006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11098A98" w14:textId="351703D2" w:rsidR="00CE6FC2" w:rsidRPr="00AE3572" w:rsidRDefault="006D0062" w:rsidP="00AE3572">
      <w:pPr>
        <w:autoSpaceDE w:val="0"/>
        <w:autoSpaceDN w:val="0"/>
        <w:adjustRightInd w:val="0"/>
        <w:spacing w:line="600" w:lineRule="exact"/>
        <w:ind w:firstLine="601"/>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天津市妇女儿童保健中心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63,780,223.00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38,396,623.00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25,383,600.00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63,096,223.00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98.93%</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9,331,223.00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14.63%</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97.31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626D60B8" w14:textId="77777777" w:rsidR="00CE6FC2" w:rsidRDefault="006D006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4F7A7BEA" w14:textId="783B21AC" w:rsidR="00CE6FC2" w:rsidRPr="00AE3572" w:rsidRDefault="006D0062" w:rsidP="00AE3572">
      <w:pPr>
        <w:autoSpaceDE w:val="0"/>
        <w:autoSpaceDN w:val="0"/>
        <w:adjustRightInd w:val="0"/>
        <w:spacing w:line="600" w:lineRule="exact"/>
        <w:ind w:firstLine="720"/>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日，天津市妇女儿童保健中心共有车辆</w:t>
      </w:r>
      <w:r>
        <w:rPr>
          <w:rFonts w:ascii="Times New Roman" w:eastAsia="仿宋_GB2312" w:hAnsi="Times New Roman" w:cs="Times New Roman" w:hint="eastAsia"/>
          <w:kern w:val="0"/>
          <w:sz w:val="30"/>
          <w:szCs w:val="30"/>
        </w:rPr>
        <w:t>6</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6</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业务用车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30</w:t>
      </w:r>
      <w:r>
        <w:rPr>
          <w:rFonts w:ascii="Times New Roman" w:eastAsia="仿宋_GB2312" w:hAnsi="Times New Roman" w:cs="仿宋_GB2312" w:hint="eastAsia"/>
          <w:kern w:val="0"/>
          <w:sz w:val="30"/>
          <w:szCs w:val="30"/>
        </w:rPr>
        <w:t>台（套）。</w:t>
      </w:r>
    </w:p>
    <w:p w14:paraId="2DB83E63" w14:textId="77777777" w:rsidR="00CE6FC2" w:rsidRDefault="006D006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2D129648" w14:textId="77777777" w:rsidR="00CE6FC2" w:rsidRDefault="006D0062" w:rsidP="0022612D">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lastRenderedPageBreak/>
        <w:t>根据预算绩效管理要求，天津市妇女儿童保健中心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 xml:space="preserve"> 45,623,663.4</w:t>
      </w:r>
      <w:r>
        <w:rPr>
          <w:rFonts w:ascii="Times New Roman" w:eastAsia="仿宋_GB2312" w:hAnsi="Times New Roman" w:cs="仿宋_GB2312" w:hint="eastAsia"/>
          <w:sz w:val="30"/>
          <w:szCs w:val="30"/>
        </w:rPr>
        <w:t>元，自评结果已随部门决算一并公开。</w:t>
      </w:r>
    </w:p>
    <w:p w14:paraId="52228EEA" w14:textId="77777777" w:rsidR="00CE6FC2" w:rsidRDefault="006D006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1ECE9953" w14:textId="77777777" w:rsidR="00CE6FC2" w:rsidRDefault="006D0062" w:rsidP="0022612D">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天津市妇女儿童保健中心不属于乡、镇、街级单位，不涉及公开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19A7CC82" w14:textId="77777777" w:rsidR="00CE6FC2" w:rsidRDefault="006D0062">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46B86B17" w14:textId="073B640E" w:rsidR="00CE6FC2" w:rsidRDefault="006D006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r w:rsidR="00D6396D">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14:paraId="19B9D743" w14:textId="77777777" w:rsidR="00CE6FC2" w:rsidRDefault="00CE6FC2">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2028356C" w14:textId="77777777" w:rsidR="00CE6FC2" w:rsidRDefault="006D0062" w:rsidP="007821A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786DDA9" w14:textId="77777777" w:rsidR="00CE6FC2" w:rsidRDefault="006D0062" w:rsidP="007821A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7D938D5" w14:textId="77777777" w:rsidR="00CE6FC2" w:rsidRDefault="006D0062" w:rsidP="007821A5">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CE6FC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D0B3" w14:textId="77777777" w:rsidR="00A97198" w:rsidRDefault="00A97198" w:rsidP="0081676E">
      <w:r>
        <w:separator/>
      </w:r>
    </w:p>
  </w:endnote>
  <w:endnote w:type="continuationSeparator" w:id="0">
    <w:p w14:paraId="35049AD2" w14:textId="77777777" w:rsidR="00A97198" w:rsidRDefault="00A97198" w:rsidP="0081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方正小标宋简体">
    <w:altName w:val="等线"/>
    <w:charset w:val="86"/>
    <w:family w:val="auto"/>
    <w:pitch w:val="default"/>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宋体"/>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4F509" w14:textId="77777777" w:rsidR="00A97198" w:rsidRDefault="00A97198" w:rsidP="0081676E">
      <w:r>
        <w:separator/>
      </w:r>
    </w:p>
  </w:footnote>
  <w:footnote w:type="continuationSeparator" w:id="0">
    <w:p w14:paraId="1BD0461C" w14:textId="77777777" w:rsidR="00A97198" w:rsidRDefault="00A97198" w:rsidP="00816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kZGUxYTUxNDJhMWU5OGM5MDRlOTJkNDUzOWI5ZjIifQ=="/>
  </w:docVars>
  <w:rsids>
    <w:rsidRoot w:val="006A094D"/>
    <w:rsid w:val="00013A12"/>
    <w:rsid w:val="00015C66"/>
    <w:rsid w:val="0002687D"/>
    <w:rsid w:val="00047C6F"/>
    <w:rsid w:val="000528EE"/>
    <w:rsid w:val="000719FD"/>
    <w:rsid w:val="000B5C71"/>
    <w:rsid w:val="000D4B98"/>
    <w:rsid w:val="00127EFA"/>
    <w:rsid w:val="00135158"/>
    <w:rsid w:val="00142888"/>
    <w:rsid w:val="00152EEB"/>
    <w:rsid w:val="00153077"/>
    <w:rsid w:val="00167CB7"/>
    <w:rsid w:val="001A0E4F"/>
    <w:rsid w:val="001B5C3C"/>
    <w:rsid w:val="001C0399"/>
    <w:rsid w:val="001D587E"/>
    <w:rsid w:val="002124F6"/>
    <w:rsid w:val="0022612D"/>
    <w:rsid w:val="00264B59"/>
    <w:rsid w:val="00281602"/>
    <w:rsid w:val="002860DC"/>
    <w:rsid w:val="002A4997"/>
    <w:rsid w:val="002E6086"/>
    <w:rsid w:val="00302490"/>
    <w:rsid w:val="00315991"/>
    <w:rsid w:val="003227B2"/>
    <w:rsid w:val="003536BE"/>
    <w:rsid w:val="00396DFF"/>
    <w:rsid w:val="003B25FB"/>
    <w:rsid w:val="003B6CF6"/>
    <w:rsid w:val="004A482F"/>
    <w:rsid w:val="004F39BF"/>
    <w:rsid w:val="005062D7"/>
    <w:rsid w:val="005175E6"/>
    <w:rsid w:val="00525157"/>
    <w:rsid w:val="005349A2"/>
    <w:rsid w:val="00575537"/>
    <w:rsid w:val="00592D9B"/>
    <w:rsid w:val="005A151D"/>
    <w:rsid w:val="005D1367"/>
    <w:rsid w:val="005D3F56"/>
    <w:rsid w:val="00654D17"/>
    <w:rsid w:val="006623EC"/>
    <w:rsid w:val="006A094D"/>
    <w:rsid w:val="006D0062"/>
    <w:rsid w:val="006D2409"/>
    <w:rsid w:val="006E65DB"/>
    <w:rsid w:val="00702F50"/>
    <w:rsid w:val="007075FF"/>
    <w:rsid w:val="00736F46"/>
    <w:rsid w:val="00776FF3"/>
    <w:rsid w:val="0078156E"/>
    <w:rsid w:val="007821A5"/>
    <w:rsid w:val="00786E74"/>
    <w:rsid w:val="007D1285"/>
    <w:rsid w:val="007E49E1"/>
    <w:rsid w:val="007F6DA7"/>
    <w:rsid w:val="0081676E"/>
    <w:rsid w:val="008174D5"/>
    <w:rsid w:val="00885126"/>
    <w:rsid w:val="0089698B"/>
    <w:rsid w:val="008A1ABE"/>
    <w:rsid w:val="008D48A9"/>
    <w:rsid w:val="00941A30"/>
    <w:rsid w:val="00962D90"/>
    <w:rsid w:val="00976C9A"/>
    <w:rsid w:val="00977DCC"/>
    <w:rsid w:val="009820CF"/>
    <w:rsid w:val="00982A8B"/>
    <w:rsid w:val="009A7ED3"/>
    <w:rsid w:val="009D74D7"/>
    <w:rsid w:val="009E1DCF"/>
    <w:rsid w:val="009F46F2"/>
    <w:rsid w:val="00A04428"/>
    <w:rsid w:val="00A069A9"/>
    <w:rsid w:val="00A15423"/>
    <w:rsid w:val="00A57AE7"/>
    <w:rsid w:val="00A63770"/>
    <w:rsid w:val="00A97198"/>
    <w:rsid w:val="00AE000F"/>
    <w:rsid w:val="00AE3572"/>
    <w:rsid w:val="00AF71AE"/>
    <w:rsid w:val="00B3210B"/>
    <w:rsid w:val="00B33C70"/>
    <w:rsid w:val="00B75228"/>
    <w:rsid w:val="00B811F1"/>
    <w:rsid w:val="00B81B9F"/>
    <w:rsid w:val="00BC763A"/>
    <w:rsid w:val="00BC7D6F"/>
    <w:rsid w:val="00BD3CAC"/>
    <w:rsid w:val="00BF697A"/>
    <w:rsid w:val="00C52E77"/>
    <w:rsid w:val="00C65A44"/>
    <w:rsid w:val="00C71865"/>
    <w:rsid w:val="00C76AC3"/>
    <w:rsid w:val="00C83EB4"/>
    <w:rsid w:val="00CE6FC2"/>
    <w:rsid w:val="00D4505A"/>
    <w:rsid w:val="00D6396D"/>
    <w:rsid w:val="00D65B41"/>
    <w:rsid w:val="00DC3234"/>
    <w:rsid w:val="00DC3CD0"/>
    <w:rsid w:val="00DD60B5"/>
    <w:rsid w:val="00E7602B"/>
    <w:rsid w:val="00E964B2"/>
    <w:rsid w:val="00EA6549"/>
    <w:rsid w:val="00F007FE"/>
    <w:rsid w:val="00F33D60"/>
    <w:rsid w:val="00F5493A"/>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3039D7"/>
    <w:rsid w:val="0FC42B69"/>
    <w:rsid w:val="0FF22FB9"/>
    <w:rsid w:val="1102422B"/>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62B6F7C"/>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797B73"/>
    <w:rsid w:val="79B7155B"/>
    <w:rsid w:val="79DC07A5"/>
    <w:rsid w:val="7ACA53E2"/>
    <w:rsid w:val="7B143565"/>
    <w:rsid w:val="7DBF05CA"/>
    <w:rsid w:val="7DE4674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DE818"/>
  <w15:docId w15:val="{C37C7FA6-C600-4FC4-BF66-1B0EB2D2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16</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tjwch</cp:lastModifiedBy>
  <cp:revision>92</cp:revision>
  <dcterms:created xsi:type="dcterms:W3CDTF">2023-08-11T08:11:00Z</dcterms:created>
  <dcterms:modified xsi:type="dcterms:W3CDTF">2024-08-27T02:12:00Z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A44E0A178634409BBBA50D5636087390_13</vt:lpwstr>
  </property>
</Properties>
</file>